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29B" w:rsidRPr="0029029B" w:rsidRDefault="0029029B" w:rsidP="0029029B">
      <w:pPr>
        <w:tabs>
          <w:tab w:val="left" w:pos="1418"/>
        </w:tabs>
        <w:rPr>
          <w:rFonts w:cs="Arial"/>
          <w:b/>
          <w:bCs/>
          <w:u w:val="single"/>
        </w:rPr>
      </w:pPr>
      <w:r w:rsidRPr="0029029B">
        <w:rPr>
          <w:b/>
          <w:bCs/>
          <w:u w:val="single"/>
        </w:rPr>
        <w:t>Règlement Général</w:t>
      </w:r>
    </w:p>
    <w:p w:rsidR="0029029B" w:rsidRDefault="0029029B" w:rsidP="0029029B">
      <w:pPr>
        <w:tabs>
          <w:tab w:val="left" w:pos="1418"/>
        </w:tabs>
        <w:ind w:left="2835"/>
        <w:jc w:val="both"/>
        <w:rPr>
          <w:rFonts w:cs="Arial"/>
        </w:rPr>
      </w:pPr>
      <w:r>
        <w:t> </w:t>
      </w:r>
    </w:p>
    <w:p w:rsidR="0029029B" w:rsidRDefault="003E6696" w:rsidP="0029029B">
      <w:pPr>
        <w:tabs>
          <w:tab w:val="left" w:pos="1418"/>
          <w:tab w:val="left" w:pos="7560"/>
        </w:tabs>
        <w:jc w:val="both"/>
        <w:rPr>
          <w:rFonts w:cs="Arial"/>
          <w:szCs w:val="20"/>
        </w:rPr>
      </w:pPr>
      <w:r>
        <w:rPr>
          <w:szCs w:val="20"/>
        </w:rPr>
        <w:t>La Région Languedoc Roussillon Midi Pyrénées</w:t>
      </w:r>
      <w:r w:rsidR="0029029B">
        <w:rPr>
          <w:szCs w:val="20"/>
        </w:rPr>
        <w:t xml:space="preserve"> lance chaque année des "appels à projets" dénommés "projets d'avenir" destinés aux élèves des classes des lycées publics et privés de l'Education nationale et de l'enseignement agricole, ALESA, maison des lycéens ainsi qu'aux CFA à l’exception des sections d’apprentissage de niveaux de qualification I et II (niveau universitaire). </w:t>
      </w:r>
    </w:p>
    <w:p w:rsidR="0029029B" w:rsidRDefault="0029029B" w:rsidP="0029029B">
      <w:pPr>
        <w:tabs>
          <w:tab w:val="left" w:pos="1418"/>
        </w:tabs>
        <w:jc w:val="both"/>
        <w:rPr>
          <w:rFonts w:cs="Arial"/>
        </w:rPr>
      </w:pPr>
      <w:r>
        <w:t> </w:t>
      </w:r>
    </w:p>
    <w:p w:rsidR="0029029B" w:rsidRDefault="0029029B" w:rsidP="0029029B">
      <w:pPr>
        <w:pStyle w:val="Corpsdetexte2"/>
        <w:tabs>
          <w:tab w:val="left" w:pos="1418"/>
        </w:tabs>
        <w:jc w:val="both"/>
        <w:rPr>
          <w:rFonts w:cs="Arial"/>
        </w:rPr>
      </w:pPr>
      <w:r>
        <w:rPr>
          <w:rFonts w:cs="Arial"/>
        </w:rPr>
        <w:t xml:space="preserve">Tous les projets doivent être présentés obligatoirement par le chef d'établissement et impliquer la participation financière ou logistique de partenaires autres que la Région Midi-Pyrénées et être en cohérence avec le projet d'établissement. </w:t>
      </w:r>
    </w:p>
    <w:p w:rsidR="0029029B" w:rsidRDefault="0029029B" w:rsidP="0029029B">
      <w:pPr>
        <w:pStyle w:val="Corpsdetexte2"/>
        <w:tabs>
          <w:tab w:val="left" w:pos="1418"/>
        </w:tabs>
        <w:jc w:val="both"/>
        <w:rPr>
          <w:rFonts w:cs="Arial"/>
        </w:rPr>
      </w:pPr>
      <w:r>
        <w:rPr>
          <w:rFonts w:cs="Arial"/>
        </w:rPr>
        <w:t> </w:t>
      </w:r>
    </w:p>
    <w:p w:rsidR="0029029B" w:rsidRDefault="0029029B" w:rsidP="0029029B">
      <w:pPr>
        <w:tabs>
          <w:tab w:val="left" w:pos="1418"/>
        </w:tabs>
        <w:jc w:val="both"/>
        <w:rPr>
          <w:rFonts w:cs="Arial"/>
          <w:szCs w:val="20"/>
        </w:rPr>
      </w:pPr>
      <w:r>
        <w:rPr>
          <w:szCs w:val="20"/>
        </w:rPr>
        <w:t>Le nombre de projets retenus par établissement est limité à 3 au maximum.</w:t>
      </w:r>
    </w:p>
    <w:p w:rsidR="0029029B" w:rsidRDefault="0029029B" w:rsidP="0029029B">
      <w:pPr>
        <w:tabs>
          <w:tab w:val="left" w:pos="1418"/>
        </w:tabs>
        <w:jc w:val="both"/>
        <w:rPr>
          <w:rFonts w:cs="Arial"/>
          <w:szCs w:val="20"/>
        </w:rPr>
      </w:pPr>
      <w:r>
        <w:rPr>
          <w:szCs w:val="20"/>
        </w:rPr>
        <w:t> </w:t>
      </w:r>
    </w:p>
    <w:p w:rsidR="0029029B" w:rsidRDefault="0029029B" w:rsidP="0029029B">
      <w:pPr>
        <w:tabs>
          <w:tab w:val="left" w:pos="1418"/>
        </w:tabs>
        <w:jc w:val="both"/>
        <w:rPr>
          <w:rFonts w:cs="Arial"/>
          <w:szCs w:val="20"/>
        </w:rPr>
      </w:pPr>
      <w:r>
        <w:rPr>
          <w:szCs w:val="20"/>
        </w:rPr>
        <w:t>Les projets présentés à l’identique et qui ont été financés l’année précédente sont automatiquement rejetés. L’examen des projets s’effectue par le jury selon les critères suivants :</w:t>
      </w:r>
    </w:p>
    <w:p w:rsidR="0029029B" w:rsidRDefault="0029029B" w:rsidP="0029029B">
      <w:pPr>
        <w:tabs>
          <w:tab w:val="left" w:pos="1418"/>
        </w:tabs>
        <w:jc w:val="both"/>
        <w:rPr>
          <w:rFonts w:cs="Arial"/>
          <w:szCs w:val="20"/>
        </w:rPr>
      </w:pPr>
      <w:r>
        <w:rPr>
          <w:szCs w:val="20"/>
        </w:rPr>
        <w:t> 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"/>
        <w:gridCol w:w="7561"/>
        <w:gridCol w:w="1220"/>
      </w:tblGrid>
      <w:tr w:rsidR="0029029B" w:rsidTr="0029029B">
        <w:trPr>
          <w:jc w:val="center"/>
        </w:trPr>
        <w:tc>
          <w:tcPr>
            <w:tcW w:w="429" w:type="dxa"/>
            <w:hideMark/>
          </w:tcPr>
          <w:p w:rsidR="0029029B" w:rsidRDefault="0029029B">
            <w:pPr>
              <w:tabs>
                <w:tab w:val="left" w:pos="1418"/>
              </w:tabs>
              <w:jc w:val="both"/>
              <w:rPr>
                <w:rFonts w:cs="Arial"/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7561" w:type="dxa"/>
            <w:hideMark/>
          </w:tcPr>
          <w:p w:rsidR="0029029B" w:rsidRDefault="0029029B">
            <w:pPr>
              <w:tabs>
                <w:tab w:val="left" w:pos="1418"/>
              </w:tabs>
              <w:jc w:val="both"/>
              <w:rPr>
                <w:rFonts w:cs="Arial"/>
                <w:szCs w:val="20"/>
              </w:rPr>
            </w:pPr>
            <w:r>
              <w:rPr>
                <w:szCs w:val="20"/>
              </w:rPr>
              <w:t>Volet pédagogique (partenariat, qualité du projet, originalité)</w:t>
            </w:r>
          </w:p>
        </w:tc>
        <w:tc>
          <w:tcPr>
            <w:tcW w:w="1220" w:type="dxa"/>
            <w:hideMark/>
          </w:tcPr>
          <w:p w:rsidR="0029029B" w:rsidRDefault="0029029B">
            <w:pPr>
              <w:tabs>
                <w:tab w:val="left" w:pos="1418"/>
              </w:tabs>
              <w:ind w:left="-71" w:right="-109"/>
              <w:rPr>
                <w:rFonts w:cs="Arial"/>
                <w:szCs w:val="20"/>
              </w:rPr>
            </w:pPr>
            <w:r>
              <w:rPr>
                <w:szCs w:val="20"/>
              </w:rPr>
              <w:t> Noté sur 15</w:t>
            </w:r>
          </w:p>
        </w:tc>
      </w:tr>
      <w:tr w:rsidR="0029029B" w:rsidTr="0029029B">
        <w:trPr>
          <w:jc w:val="center"/>
        </w:trPr>
        <w:tc>
          <w:tcPr>
            <w:tcW w:w="429" w:type="dxa"/>
            <w:hideMark/>
          </w:tcPr>
          <w:p w:rsidR="0029029B" w:rsidRDefault="0029029B">
            <w:pPr>
              <w:tabs>
                <w:tab w:val="left" w:pos="1418"/>
              </w:tabs>
              <w:jc w:val="both"/>
              <w:rPr>
                <w:rFonts w:cs="Arial"/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7561" w:type="dxa"/>
            <w:hideMark/>
          </w:tcPr>
          <w:p w:rsidR="0029029B" w:rsidRDefault="0029029B">
            <w:pPr>
              <w:tabs>
                <w:tab w:val="left" w:pos="1418"/>
              </w:tabs>
              <w:jc w:val="both"/>
              <w:rPr>
                <w:rFonts w:cs="Arial"/>
                <w:szCs w:val="20"/>
              </w:rPr>
            </w:pPr>
            <w:r>
              <w:rPr>
                <w:szCs w:val="20"/>
              </w:rPr>
              <w:t>Engagement et responsabilité des jeunes dans le projet</w:t>
            </w:r>
          </w:p>
        </w:tc>
        <w:tc>
          <w:tcPr>
            <w:tcW w:w="1220" w:type="dxa"/>
            <w:hideMark/>
          </w:tcPr>
          <w:p w:rsidR="0029029B" w:rsidRDefault="0029029B">
            <w:pPr>
              <w:tabs>
                <w:tab w:val="left" w:pos="1418"/>
              </w:tabs>
              <w:ind w:left="-71" w:right="-109"/>
              <w:rPr>
                <w:rFonts w:cs="Arial"/>
                <w:szCs w:val="20"/>
              </w:rPr>
            </w:pPr>
            <w:r>
              <w:rPr>
                <w:szCs w:val="20"/>
              </w:rPr>
              <w:t> Noté sur 10</w:t>
            </w:r>
          </w:p>
        </w:tc>
      </w:tr>
      <w:tr w:rsidR="0029029B" w:rsidTr="0029029B">
        <w:trPr>
          <w:jc w:val="center"/>
        </w:trPr>
        <w:tc>
          <w:tcPr>
            <w:tcW w:w="429" w:type="dxa"/>
            <w:hideMark/>
          </w:tcPr>
          <w:p w:rsidR="0029029B" w:rsidRDefault="0029029B">
            <w:pPr>
              <w:tabs>
                <w:tab w:val="left" w:pos="1418"/>
              </w:tabs>
              <w:jc w:val="both"/>
              <w:rPr>
                <w:rFonts w:cs="Arial"/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7561" w:type="dxa"/>
            <w:hideMark/>
          </w:tcPr>
          <w:p w:rsidR="0029029B" w:rsidRDefault="0029029B">
            <w:pPr>
              <w:tabs>
                <w:tab w:val="left" w:pos="1418"/>
              </w:tabs>
              <w:jc w:val="both"/>
              <w:rPr>
                <w:rFonts w:cs="Arial"/>
                <w:szCs w:val="20"/>
              </w:rPr>
            </w:pPr>
            <w:r>
              <w:rPr>
                <w:szCs w:val="20"/>
              </w:rPr>
              <w:t>Valorisation du projet : rayonnement dans l’établissement et dans la société civile (ex : journées portes ouvertes, expositions, édition de livres, etc...)</w:t>
            </w:r>
          </w:p>
        </w:tc>
        <w:tc>
          <w:tcPr>
            <w:tcW w:w="1220" w:type="dxa"/>
            <w:hideMark/>
          </w:tcPr>
          <w:p w:rsidR="0029029B" w:rsidRDefault="0029029B">
            <w:pPr>
              <w:tabs>
                <w:tab w:val="left" w:pos="1418"/>
              </w:tabs>
              <w:ind w:left="-71" w:right="-109"/>
              <w:rPr>
                <w:rFonts w:cs="Arial"/>
                <w:szCs w:val="20"/>
              </w:rPr>
            </w:pPr>
            <w:r>
              <w:rPr>
                <w:szCs w:val="20"/>
              </w:rPr>
              <w:t> Noté sur 10</w:t>
            </w:r>
          </w:p>
        </w:tc>
      </w:tr>
      <w:tr w:rsidR="0029029B" w:rsidTr="0029029B">
        <w:trPr>
          <w:jc w:val="center"/>
        </w:trPr>
        <w:tc>
          <w:tcPr>
            <w:tcW w:w="429" w:type="dxa"/>
            <w:hideMark/>
          </w:tcPr>
          <w:p w:rsidR="0029029B" w:rsidRDefault="0029029B">
            <w:pPr>
              <w:tabs>
                <w:tab w:val="left" w:pos="1418"/>
              </w:tabs>
              <w:jc w:val="both"/>
              <w:rPr>
                <w:rFonts w:cs="Arial"/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7561" w:type="dxa"/>
            <w:hideMark/>
          </w:tcPr>
          <w:p w:rsidR="0029029B" w:rsidRDefault="0029029B">
            <w:pPr>
              <w:tabs>
                <w:tab w:val="left" w:pos="1418"/>
              </w:tabs>
              <w:jc w:val="both"/>
              <w:rPr>
                <w:rFonts w:cs="Arial"/>
                <w:szCs w:val="20"/>
              </w:rPr>
            </w:pPr>
            <w:r>
              <w:rPr>
                <w:szCs w:val="20"/>
              </w:rPr>
              <w:t>Volet financier (partenariat, équilibre)</w:t>
            </w:r>
          </w:p>
        </w:tc>
        <w:tc>
          <w:tcPr>
            <w:tcW w:w="1220" w:type="dxa"/>
            <w:hideMark/>
          </w:tcPr>
          <w:p w:rsidR="0029029B" w:rsidRDefault="0029029B">
            <w:pPr>
              <w:tabs>
                <w:tab w:val="left" w:pos="1418"/>
              </w:tabs>
              <w:ind w:left="-71"/>
              <w:rPr>
                <w:rFonts w:cs="Arial"/>
                <w:szCs w:val="20"/>
              </w:rPr>
            </w:pPr>
            <w:r>
              <w:rPr>
                <w:szCs w:val="20"/>
              </w:rPr>
              <w:t> Noté sur 5</w:t>
            </w:r>
          </w:p>
        </w:tc>
      </w:tr>
    </w:tbl>
    <w:p w:rsidR="0029029B" w:rsidRDefault="003E6696" w:rsidP="0029029B">
      <w:pPr>
        <w:tabs>
          <w:tab w:val="left" w:pos="1418"/>
        </w:tabs>
        <w:spacing w:before="120"/>
        <w:jc w:val="both"/>
        <w:rPr>
          <w:rFonts w:cs="Arial"/>
          <w:b/>
          <w:bCs/>
          <w:szCs w:val="20"/>
        </w:rPr>
      </w:pPr>
      <w:r>
        <w:rPr>
          <w:szCs w:val="20"/>
        </w:rPr>
        <w:t>L'aide de la Région Languedoc Roussillon Midi Pyrénées</w:t>
      </w:r>
      <w:r w:rsidR="0029029B">
        <w:rPr>
          <w:szCs w:val="20"/>
        </w:rPr>
        <w:t xml:space="preserve"> se matérialise sous forme de subventions de fonctionnement ne pouvant pas excéder </w:t>
      </w:r>
      <w:r w:rsidR="0029029B">
        <w:rPr>
          <w:b/>
          <w:bCs/>
          <w:szCs w:val="20"/>
        </w:rPr>
        <w:t xml:space="preserve">60 % </w:t>
      </w:r>
      <w:r w:rsidR="0029029B">
        <w:rPr>
          <w:szCs w:val="20"/>
        </w:rPr>
        <w:t xml:space="preserve">du plan de financement du projet présenté, et </w:t>
      </w:r>
      <w:r w:rsidR="0029029B">
        <w:rPr>
          <w:b/>
          <w:bCs/>
          <w:szCs w:val="20"/>
        </w:rPr>
        <w:t>plafonnée à 6 000 €</w:t>
      </w:r>
      <w:r w:rsidR="0029029B">
        <w:rPr>
          <w:szCs w:val="20"/>
        </w:rPr>
        <w:t xml:space="preserve">. </w:t>
      </w:r>
      <w:r w:rsidR="0029029B">
        <w:rPr>
          <w:b/>
          <w:bCs/>
          <w:szCs w:val="20"/>
        </w:rPr>
        <w:t>Sont exclues les subventions d'équipement (ordinateur, matériels audio-visuels…) ainsi que les financements de voyages scolaires et les stages en entreprises.</w:t>
      </w:r>
    </w:p>
    <w:p w:rsidR="0029029B" w:rsidRDefault="0029029B" w:rsidP="0029029B">
      <w:pPr>
        <w:tabs>
          <w:tab w:val="left" w:pos="1418"/>
        </w:tabs>
        <w:jc w:val="both"/>
        <w:rPr>
          <w:rFonts w:cs="Arial"/>
          <w:b/>
          <w:bCs/>
          <w:szCs w:val="20"/>
        </w:rPr>
      </w:pPr>
      <w:r>
        <w:rPr>
          <w:b/>
          <w:bCs/>
          <w:szCs w:val="20"/>
        </w:rPr>
        <w:t> </w:t>
      </w:r>
    </w:p>
    <w:p w:rsidR="0029029B" w:rsidRDefault="0029029B" w:rsidP="0029029B">
      <w:pPr>
        <w:pStyle w:val="GEDArticle"/>
        <w:keepLines w:val="0"/>
        <w:tabs>
          <w:tab w:val="left" w:pos="1418"/>
        </w:tabs>
        <w:spacing w:before="0" w:after="0"/>
        <w:rPr>
          <w:rFonts w:cs="Arial"/>
          <w:szCs w:val="24"/>
        </w:rPr>
      </w:pPr>
      <w:r>
        <w:rPr>
          <w:rFonts w:cs="Arial"/>
          <w:szCs w:val="24"/>
        </w:rPr>
        <w:t>Les projets qui prévoiront une participation des familles supérieure à 200 € par élève ne seront pas retenus.</w:t>
      </w:r>
    </w:p>
    <w:p w:rsidR="0029029B" w:rsidRDefault="0029029B" w:rsidP="0029029B">
      <w:pPr>
        <w:tabs>
          <w:tab w:val="left" w:pos="1418"/>
        </w:tabs>
        <w:jc w:val="both"/>
        <w:rPr>
          <w:rFonts w:cs="Arial"/>
        </w:rPr>
      </w:pPr>
      <w:r>
        <w:t> </w:t>
      </w:r>
    </w:p>
    <w:p w:rsidR="0029029B" w:rsidRDefault="0029029B" w:rsidP="0029029B">
      <w:pPr>
        <w:tabs>
          <w:tab w:val="left" w:pos="1418"/>
        </w:tabs>
        <w:jc w:val="both"/>
        <w:rPr>
          <w:rFonts w:cs="Arial"/>
          <w:szCs w:val="20"/>
        </w:rPr>
      </w:pPr>
      <w:r>
        <w:rPr>
          <w:szCs w:val="20"/>
        </w:rPr>
        <w:t>La subvention attribuée est versée à l'établissement, à la maison des lycéens ou à l’Association des Lycéens, Étudiants, Stagiaires et Apprentis (ALESA).</w:t>
      </w:r>
    </w:p>
    <w:p w:rsidR="0029029B" w:rsidRDefault="0029029B" w:rsidP="0029029B">
      <w:pPr>
        <w:tabs>
          <w:tab w:val="left" w:pos="1418"/>
        </w:tabs>
        <w:jc w:val="both"/>
        <w:rPr>
          <w:rFonts w:cs="Arial"/>
          <w:szCs w:val="20"/>
        </w:rPr>
      </w:pPr>
      <w:r>
        <w:rPr>
          <w:szCs w:val="20"/>
        </w:rPr>
        <w:t> </w:t>
      </w:r>
    </w:p>
    <w:p w:rsidR="0029029B" w:rsidRDefault="0029029B" w:rsidP="0029029B">
      <w:pPr>
        <w:tabs>
          <w:tab w:val="left" w:pos="1418"/>
        </w:tabs>
        <w:jc w:val="both"/>
        <w:rPr>
          <w:rFonts w:cs="Arial"/>
          <w:szCs w:val="20"/>
        </w:rPr>
      </w:pPr>
      <w:r>
        <w:rPr>
          <w:szCs w:val="20"/>
        </w:rPr>
        <w:t xml:space="preserve">Dans tous les cas, le Conseil Régional est souverain pour la sélection des projets et aucune demande de changement d’attributaire ne sera acceptée à une date postérieure à la décision de la Région.  </w:t>
      </w:r>
    </w:p>
    <w:p w:rsidR="0029029B" w:rsidRDefault="0029029B" w:rsidP="0029029B">
      <w:pPr>
        <w:tabs>
          <w:tab w:val="left" w:pos="1418"/>
        </w:tabs>
        <w:jc w:val="both"/>
        <w:rPr>
          <w:rFonts w:cs="Arial"/>
          <w:szCs w:val="20"/>
        </w:rPr>
      </w:pPr>
      <w:r>
        <w:rPr>
          <w:szCs w:val="20"/>
        </w:rPr>
        <w:t> </w:t>
      </w:r>
    </w:p>
    <w:p w:rsidR="0029029B" w:rsidRDefault="0029029B" w:rsidP="0029029B">
      <w:pPr>
        <w:tabs>
          <w:tab w:val="left" w:pos="1418"/>
        </w:tabs>
        <w:jc w:val="both"/>
        <w:rPr>
          <w:rFonts w:cs="Arial"/>
          <w:szCs w:val="20"/>
        </w:rPr>
      </w:pPr>
      <w:r>
        <w:rPr>
          <w:szCs w:val="20"/>
        </w:rPr>
        <w:t>Sont automatiquement exclus tous les financements concernant le personnel, les rétributions des personnels statutaires ; seuls les frais de personnels extérieurs pourraient être pris en charge.</w:t>
      </w:r>
    </w:p>
    <w:p w:rsidR="0029029B" w:rsidRDefault="0029029B" w:rsidP="0029029B">
      <w:pPr>
        <w:tabs>
          <w:tab w:val="left" w:pos="1418"/>
        </w:tabs>
        <w:jc w:val="both"/>
        <w:rPr>
          <w:rFonts w:cs="Arial"/>
          <w:szCs w:val="20"/>
        </w:rPr>
      </w:pPr>
      <w:r>
        <w:rPr>
          <w:szCs w:val="20"/>
        </w:rPr>
        <w:t> </w:t>
      </w:r>
    </w:p>
    <w:p w:rsidR="0029029B" w:rsidRDefault="0029029B" w:rsidP="0029029B">
      <w:pPr>
        <w:tabs>
          <w:tab w:val="left" w:pos="1418"/>
        </w:tabs>
        <w:jc w:val="both"/>
        <w:rPr>
          <w:rFonts w:cs="Arial"/>
          <w:szCs w:val="20"/>
        </w:rPr>
      </w:pPr>
      <w:r>
        <w:rPr>
          <w:szCs w:val="20"/>
        </w:rPr>
        <w:t>Les projets montés en partenariat avec d'autres établissements sont prioritaires.</w:t>
      </w:r>
    </w:p>
    <w:p w:rsidR="0029029B" w:rsidRDefault="0029029B" w:rsidP="0029029B">
      <w:pPr>
        <w:tabs>
          <w:tab w:val="left" w:pos="1418"/>
        </w:tabs>
        <w:jc w:val="both"/>
        <w:rPr>
          <w:rFonts w:cs="Arial"/>
          <w:szCs w:val="20"/>
        </w:rPr>
      </w:pPr>
      <w:r>
        <w:rPr>
          <w:szCs w:val="20"/>
        </w:rPr>
        <w:t> </w:t>
      </w:r>
    </w:p>
    <w:p w:rsidR="0029029B" w:rsidRDefault="0029029B" w:rsidP="0029029B">
      <w:pPr>
        <w:pStyle w:val="Corpsdetexte"/>
        <w:tabs>
          <w:tab w:val="clear" w:pos="0"/>
          <w:tab w:val="left" w:pos="1418"/>
        </w:tabs>
        <w:rPr>
          <w:rFonts w:cs="Arial"/>
        </w:rPr>
      </w:pPr>
      <w:r>
        <w:rPr>
          <w:rFonts w:cs="Arial"/>
          <w:szCs w:val="20"/>
        </w:rPr>
        <w:t xml:space="preserve">Tous les projets doivent pouvoir faire l'objet d’une exposition publique, y compris dans le cadre du </w:t>
      </w:r>
      <w:proofErr w:type="spellStart"/>
      <w:r>
        <w:rPr>
          <w:rFonts w:cs="Arial"/>
          <w:szCs w:val="20"/>
        </w:rPr>
        <w:t>Festiv</w:t>
      </w:r>
      <w:proofErr w:type="spellEnd"/>
      <w:r>
        <w:rPr>
          <w:rFonts w:cs="Arial"/>
          <w:szCs w:val="20"/>
        </w:rPr>
        <w:t xml:space="preserve">’. </w:t>
      </w:r>
    </w:p>
    <w:p w:rsidR="0029029B" w:rsidRDefault="0029029B" w:rsidP="0029029B">
      <w:pPr>
        <w:pStyle w:val="Corpsdetexte"/>
        <w:tabs>
          <w:tab w:val="clear" w:pos="0"/>
          <w:tab w:val="left" w:pos="1418"/>
        </w:tabs>
        <w:rPr>
          <w:rFonts w:cs="Arial"/>
          <w:strike/>
        </w:rPr>
      </w:pPr>
      <w:r>
        <w:rPr>
          <w:rFonts w:cs="Arial"/>
        </w:rPr>
        <w:t> </w:t>
      </w:r>
    </w:p>
    <w:p w:rsidR="0029029B" w:rsidRDefault="0029029B" w:rsidP="0029029B">
      <w:pPr>
        <w:pStyle w:val="Corpsdetexte3"/>
        <w:rPr>
          <w:b w:val="0"/>
          <w:bCs w:val="0"/>
        </w:rPr>
      </w:pPr>
      <w:r>
        <w:rPr>
          <w:b w:val="0"/>
          <w:bCs w:val="0"/>
        </w:rPr>
        <w:t>Les projets doivent être saisis et validés par le chef d’établissement via le site internet dédié à ce dispositif</w:t>
      </w:r>
      <w:r>
        <w:t xml:space="preserve">. </w:t>
      </w:r>
      <w:r>
        <w:rPr>
          <w:b w:val="0"/>
          <w:bCs w:val="0"/>
        </w:rPr>
        <w:t>La demande de subvention « papier » doit parvenir à la Région Midi-Pyrénées impérativement 7 jours ouvrables après la date de clôture des inscriptions du site dédié, cachet de la poste faisant foi, à l’adresse ci-dessous :</w:t>
      </w:r>
    </w:p>
    <w:p w:rsidR="0029029B" w:rsidRDefault="0029029B" w:rsidP="0029029B">
      <w:pPr>
        <w:pStyle w:val="Corpsdetexte3"/>
        <w:jc w:val="center"/>
      </w:pPr>
      <w:r>
        <w:t> </w:t>
      </w:r>
    </w:p>
    <w:p w:rsidR="0029029B" w:rsidRDefault="0029029B" w:rsidP="0029029B">
      <w:pPr>
        <w:pStyle w:val="Corpsdetexte3"/>
        <w:jc w:val="center"/>
      </w:pPr>
      <w:r>
        <w:t> </w:t>
      </w:r>
    </w:p>
    <w:p w:rsidR="0029029B" w:rsidRDefault="0029029B" w:rsidP="0029029B">
      <w:pPr>
        <w:pStyle w:val="Corpsdetexte3"/>
        <w:jc w:val="center"/>
      </w:pPr>
      <w:r>
        <w:lastRenderedPageBreak/>
        <w:t> </w:t>
      </w:r>
    </w:p>
    <w:p w:rsidR="0029029B" w:rsidRDefault="003E6696" w:rsidP="0029029B">
      <w:pPr>
        <w:pStyle w:val="Corpsdetexte3"/>
        <w:jc w:val="center"/>
      </w:pPr>
      <w:r>
        <w:t>Région Languedoc Roussillon Midi Pyrénées</w:t>
      </w:r>
    </w:p>
    <w:p w:rsidR="0029029B" w:rsidRDefault="0029029B" w:rsidP="0029029B">
      <w:pPr>
        <w:pStyle w:val="Corpsdetexte3"/>
        <w:jc w:val="center"/>
      </w:pPr>
      <w:r>
        <w:t>Direction de l'Education et des Sports</w:t>
      </w:r>
    </w:p>
    <w:p w:rsidR="0029029B" w:rsidRDefault="0029029B" w:rsidP="0029029B">
      <w:pPr>
        <w:pStyle w:val="Corpsdetexte3"/>
        <w:jc w:val="center"/>
      </w:pPr>
      <w:r>
        <w:t>22 boulevard du Maréchal Juin</w:t>
      </w:r>
    </w:p>
    <w:p w:rsidR="0029029B" w:rsidRDefault="0029029B" w:rsidP="0029029B">
      <w:pPr>
        <w:pStyle w:val="Corpsdetexte3"/>
        <w:jc w:val="center"/>
      </w:pPr>
      <w:r>
        <w:t>31406 Toulouse Cedex 9</w:t>
      </w:r>
    </w:p>
    <w:p w:rsidR="0029029B" w:rsidRDefault="0029029B" w:rsidP="0029029B">
      <w:pPr>
        <w:pStyle w:val="Corpsdetexte3"/>
        <w:jc w:val="center"/>
      </w:pPr>
      <w:r>
        <w:t> </w:t>
      </w:r>
    </w:p>
    <w:p w:rsidR="0029029B" w:rsidRDefault="0029029B" w:rsidP="0029029B">
      <w:pPr>
        <w:pStyle w:val="Corpsdetexte3"/>
        <w:rPr>
          <w:b w:val="0"/>
          <w:bCs w:val="0"/>
        </w:rPr>
      </w:pPr>
      <w:r>
        <w:rPr>
          <w:b w:val="0"/>
          <w:bCs w:val="0"/>
        </w:rPr>
        <w:t>Les projets présentés par les Maisons des lycéens ou ALESA doivent être accompagnés du certificat d’inscription au répertoire des entreprises et des établissements.</w:t>
      </w:r>
    </w:p>
    <w:p w:rsidR="0029029B" w:rsidRDefault="0029029B" w:rsidP="0029029B">
      <w:pPr>
        <w:pStyle w:val="Corpsdetexte3"/>
        <w:jc w:val="left"/>
      </w:pPr>
      <w:r>
        <w:t> </w:t>
      </w:r>
    </w:p>
    <w:p w:rsidR="00D44638" w:rsidRPr="003E6696" w:rsidRDefault="0029029B" w:rsidP="0029029B">
      <w:bookmarkStart w:id="0" w:name="_GoBack"/>
      <w:r w:rsidRPr="003E6696">
        <w:rPr>
          <w:bCs/>
        </w:rPr>
        <w:t>Les projets doivent être obligatoirement réalisés dans les conditions et les délais fixés dans l’arrêté ou la convention</w:t>
      </w:r>
      <w:bookmarkEnd w:id="0"/>
    </w:p>
    <w:sectPr w:rsidR="00D44638" w:rsidRPr="003E6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29B"/>
    <w:rsid w:val="0029029B"/>
    <w:rsid w:val="003E6696"/>
    <w:rsid w:val="00C4440F"/>
    <w:rsid w:val="00D4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29B"/>
    <w:pPr>
      <w:spacing w:after="0" w:line="240" w:lineRule="auto"/>
    </w:pPr>
    <w:rPr>
      <w:rFonts w:eastAsia="Times New Roman" w:cs="Times New Roman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semiHidden/>
    <w:unhideWhenUsed/>
    <w:rsid w:val="0029029B"/>
    <w:pPr>
      <w:tabs>
        <w:tab w:val="left" w:pos="0"/>
        <w:tab w:val="left" w:pos="2835"/>
      </w:tabs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9029B"/>
    <w:rPr>
      <w:rFonts w:eastAsia="Times New Roman" w:cs="Times New Roman"/>
      <w:szCs w:val="24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29029B"/>
    <w:rPr>
      <w:szCs w:val="20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29029B"/>
    <w:rPr>
      <w:rFonts w:eastAsia="Times New Roman" w:cs="Times New Roman"/>
      <w:szCs w:val="20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29029B"/>
    <w:pPr>
      <w:tabs>
        <w:tab w:val="left" w:pos="1418"/>
      </w:tabs>
      <w:jc w:val="both"/>
    </w:pPr>
    <w:rPr>
      <w:rFonts w:cs="Arial"/>
      <w:b/>
      <w:bCs/>
      <w:szCs w:val="20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29029B"/>
    <w:rPr>
      <w:rFonts w:eastAsia="Times New Roman"/>
      <w:b/>
      <w:bCs/>
      <w:szCs w:val="20"/>
      <w:lang w:eastAsia="fr-FR"/>
    </w:rPr>
  </w:style>
  <w:style w:type="paragraph" w:customStyle="1" w:styleId="GEDArticle">
    <w:name w:val="GED_Article"/>
    <w:basedOn w:val="Normal"/>
    <w:next w:val="Normal"/>
    <w:rsid w:val="0029029B"/>
    <w:pPr>
      <w:keepLines/>
      <w:spacing w:before="120" w:after="120"/>
      <w:jc w:val="both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29B"/>
    <w:pPr>
      <w:spacing w:after="0" w:line="240" w:lineRule="auto"/>
    </w:pPr>
    <w:rPr>
      <w:rFonts w:eastAsia="Times New Roman" w:cs="Times New Roman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semiHidden/>
    <w:unhideWhenUsed/>
    <w:rsid w:val="0029029B"/>
    <w:pPr>
      <w:tabs>
        <w:tab w:val="left" w:pos="0"/>
        <w:tab w:val="left" w:pos="2835"/>
      </w:tabs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9029B"/>
    <w:rPr>
      <w:rFonts w:eastAsia="Times New Roman" w:cs="Times New Roman"/>
      <w:szCs w:val="24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29029B"/>
    <w:rPr>
      <w:szCs w:val="20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29029B"/>
    <w:rPr>
      <w:rFonts w:eastAsia="Times New Roman" w:cs="Times New Roman"/>
      <w:szCs w:val="20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29029B"/>
    <w:pPr>
      <w:tabs>
        <w:tab w:val="left" w:pos="1418"/>
      </w:tabs>
      <w:jc w:val="both"/>
    </w:pPr>
    <w:rPr>
      <w:rFonts w:cs="Arial"/>
      <w:b/>
      <w:bCs/>
      <w:szCs w:val="20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29029B"/>
    <w:rPr>
      <w:rFonts w:eastAsia="Times New Roman"/>
      <w:b/>
      <w:bCs/>
      <w:szCs w:val="20"/>
      <w:lang w:eastAsia="fr-FR"/>
    </w:rPr>
  </w:style>
  <w:style w:type="paragraph" w:customStyle="1" w:styleId="GEDArticle">
    <w:name w:val="GED_Article"/>
    <w:basedOn w:val="Normal"/>
    <w:next w:val="Normal"/>
    <w:rsid w:val="0029029B"/>
    <w:pPr>
      <w:keepLines/>
      <w:spacing w:before="120" w:after="120"/>
      <w:jc w:val="both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1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505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Régional Midi Pyrénées</Company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DUPUY Isabelle</dc:creator>
  <cp:lastModifiedBy>DUPUY Isabelle</cp:lastModifiedBy>
  <cp:revision>3</cp:revision>
  <dcterms:created xsi:type="dcterms:W3CDTF">2016-06-16T06:52:00Z</dcterms:created>
  <dcterms:modified xsi:type="dcterms:W3CDTF">2016-06-16T06:55:00Z</dcterms:modified>
</cp:coreProperties>
</file>